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left" w:pos="4222" w:leader="none"/>
          <w:tab w:val="left" w:pos="6052" w:leader="none"/>
          <w:tab w:val="left" w:pos="8242" w:leader="none"/>
        </w:tabs>
        <w:ind w:left="821" w:hanging="0"/>
        <w:rPr/>
      </w:pPr>
      <w:r>
        <w:rPr>
          <w:rFonts w:cs="Times New Roman" w:ascii="Times New Roman" w:hAnsi="Times New Roman"/>
          <w:position w:val="12"/>
        </w:rPr>
        <w:tab/>
      </w:r>
      <w:r>
        <w:rPr>
          <w:rFonts w:cs="Times New Roman" w:ascii="Times New Roman" w:hAnsi="Times New Roman"/>
        </w:rPr>
        <w:tab/>
        <w:tab/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11" w:after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p>
      <w:pPr>
        <w:pStyle w:val="Textbody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body"/>
        <w:spacing w:before="4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andard"/>
        <w:spacing w:lineRule="auto" w:line="360" w:before="89" w:after="0"/>
        <w:ind w:left="2560" w:right="2817" w:hanging="12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 xml:space="preserve">ZAPYTANIE OFERTOWE NA ZAKUP WYPOSAŻENIA ZAPLECZA KUCHENNEGO I </w:t>
      </w:r>
    </w:p>
    <w:p>
      <w:pPr>
        <w:pStyle w:val="Standard"/>
        <w:spacing w:lineRule="auto" w:line="360" w:before="89" w:after="0"/>
        <w:ind w:left="2560" w:right="2817" w:hanging="12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ZAPLECZA RESTAURACYJNEGO</w:t>
      </w:r>
    </w:p>
    <w:p>
      <w:pPr>
        <w:pStyle w:val="Standard"/>
        <w:spacing w:lineRule="auto" w:line="360" w:before="318" w:after="0"/>
        <w:ind w:left="534" w:right="229" w:hanging="8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Zakup jest realizowany w ramach operacji w ramach działania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4.2 „Realizacja lokalnych strategii rozwoju kierowanych przez społeczność” w ramach Priorytetu 4, Zwiększenie zatrudnienia i spójności terytorialnej, objętego Programem Operacyjnym „Rybactwo i Morze”</w:t>
      </w:r>
      <w:bookmarkStart w:id="0" w:name="_Hlk498419221"/>
      <w:bookmarkEnd w:id="0"/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Podmiot:</w:t>
      </w:r>
    </w:p>
    <w:p>
      <w:pPr>
        <w:pStyle w:val="Standard"/>
        <w:tabs>
          <w:tab w:val="left" w:pos="7842" w:leader="none"/>
        </w:tabs>
        <w:spacing w:lineRule="auto" w:line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andard"/>
        <w:tabs>
          <w:tab w:val="left" w:pos="7842" w:leader="none"/>
        </w:tabs>
        <w:spacing w:lineRule="auto" w:line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"DUET DOMKI" SYLWIA URBAŃSKA "RESORT HOLIDAY HOME &amp; SPA" SYLWIA URBAŃSKA CENTRUM OPIEKI – REHABILITACJI</w:t>
      </w:r>
    </w:p>
    <w:p>
      <w:pPr>
        <w:pStyle w:val="Standard"/>
        <w:tabs>
          <w:tab w:val="left" w:pos="7842" w:leader="none"/>
        </w:tabs>
        <w:spacing w:lineRule="auto" w:line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SYLWIA URBAŃSKA</w:t>
      </w:r>
    </w:p>
    <w:p>
      <w:pPr>
        <w:pStyle w:val="Standard"/>
        <w:tabs>
          <w:tab w:val="left" w:pos="7842" w:leader="none"/>
        </w:tabs>
        <w:spacing w:lineRule="auto" w:line="360"/>
        <w:rPr>
          <w:rFonts w:ascii="Times New Roman" w:hAnsi="Times New Roman" w:cs="Times New Roman"/>
          <w:b/>
          <w:b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tel. kom. 793058899</w:t>
      </w:r>
    </w:p>
    <w:p>
      <w:pPr>
        <w:pStyle w:val="Standard"/>
        <w:tabs>
          <w:tab w:val="left" w:pos="7842" w:leader="none"/>
        </w:tabs>
        <w:spacing w:lineRule="auto" w:line="360"/>
        <w:rPr>
          <w:rFonts w:ascii="Times New Roman" w:hAnsi="Times New Roman" w:cs="Times New Roman"/>
          <w:b/>
          <w:b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 xml:space="preserve">e-mail: </w:t>
        <w:tab/>
      </w:r>
    </w:p>
    <w:p>
      <w:pPr>
        <w:pStyle w:val="Standard"/>
        <w:spacing w:lineRule="auto" w:line="360" w:before="22" w:after="0"/>
        <w:ind w:right="348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NIP: 9670596749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REGON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  <w:r>
        <w:rPr>
          <w:rFonts w:cs="Times New Roman" w:ascii="Times New Roman" w:hAnsi="Times New Roman"/>
          <w:b/>
          <w:bCs/>
          <w:sz w:val="20"/>
          <w:szCs w:val="20"/>
        </w:rPr>
        <w:t>340719370</w:t>
      </w:r>
    </w:p>
    <w:p>
      <w:pPr>
        <w:pStyle w:val="Textbody"/>
        <w:spacing w:lineRule="auto" w:line="360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1417" w:footer="1134" w:bottom="1417" w:gutter="0"/>
          <w:pgNumType w:fmt="decimal"/>
          <w:formProt w:val="false"/>
          <w:textDirection w:val="lrTb"/>
        </w:sectPr>
      </w:pPr>
    </w:p>
    <w:p>
      <w:pPr>
        <w:pStyle w:val="Textbody"/>
        <w:spacing w:before="156" w:after="0"/>
        <w:ind w:right="112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</w:p>
    <w:p>
      <w:pPr>
        <w:pStyle w:val="Textbody"/>
        <w:spacing w:before="156" w:after="0"/>
        <w:ind w:right="112" w:hanging="0"/>
        <w:jc w:val="right"/>
        <w:rPr/>
      </w:pPr>
      <w:r>
        <w:rPr>
          <w:rFonts w:cs="Times New Roman" w:ascii="Times New Roman" w:hAnsi="Times New Roman"/>
        </w:rPr>
        <w:t>Jarosławiec, dnia…………………2020 r.</w:t>
      </w:r>
    </w:p>
    <w:p>
      <w:pPr>
        <w:pStyle w:val="Textbody"/>
        <w:spacing w:before="1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1370" w:leader="none"/>
          <w:tab w:val="left" w:pos="1371" w:leader="none"/>
        </w:tabs>
        <w:spacing w:lineRule="auto" w:line="420" w:before="93" w:after="0"/>
        <w:ind w:left="685" w:right="-595" w:hanging="567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Nazwa (firma) oraz adres zamawiającego (beneficjenta): Nazwa: </w:t>
      </w:r>
    </w:p>
    <w:p>
      <w:pPr>
        <w:pStyle w:val="ListParagraph"/>
        <w:tabs>
          <w:tab w:val="left" w:pos="1370" w:leader="none"/>
          <w:tab w:val="left" w:pos="1371" w:leader="none"/>
        </w:tabs>
        <w:spacing w:lineRule="auto" w:line="420" w:before="93" w:after="0"/>
        <w:ind w:left="685" w:right="-595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"DUET DOMKI" SYLWIA URBAŃSKA "RESORT HOLIDAY HOME &amp; SPA" SYLWIA URBAŃSKA CENTRUM OPIEKI - REHABILITACJI</w:t>
      </w:r>
    </w:p>
    <w:p>
      <w:pPr>
        <w:pStyle w:val="ListParagraph"/>
        <w:numPr>
          <w:ilvl w:val="0"/>
          <w:numId w:val="1"/>
        </w:numPr>
        <w:tabs>
          <w:tab w:val="left" w:pos="1370" w:leader="none"/>
          <w:tab w:val="left" w:pos="1371" w:leader="none"/>
        </w:tabs>
        <w:spacing w:lineRule="auto" w:line="420" w:before="93" w:after="0"/>
        <w:ind w:left="685" w:right="3187" w:hanging="567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lang w:val="en-US"/>
        </w:rPr>
        <w:t xml:space="preserve">Adres: </w:t>
      </w:r>
      <w:r>
        <w:rPr>
          <w:rFonts w:cs="Times New Roman" w:ascii="Times New Roman" w:hAnsi="Times New Roman"/>
          <w:lang w:val="en-US"/>
        </w:rPr>
        <w:t xml:space="preserve">Letniskowa 29, 76-107 Jarosławiec </w:t>
      </w:r>
    </w:p>
    <w:p>
      <w:pPr>
        <w:pStyle w:val="Nagwek2"/>
        <w:spacing w:before="113" w:after="0"/>
        <w:rPr/>
      </w:pPr>
      <w:r>
        <w:rPr>
          <w:rFonts w:cs="Times New Roman" w:ascii="Times New Roman" w:hAnsi="Times New Roman"/>
          <w:lang w:val="en-US"/>
        </w:rPr>
        <w:t xml:space="preserve">tel.: </w:t>
      </w:r>
      <w:r>
        <w:rPr>
          <w:rFonts w:cs="Times New Roman" w:ascii="Times New Roman" w:hAnsi="Times New Roman"/>
          <w:b w:val="false"/>
          <w:lang w:val="en-US"/>
        </w:rPr>
        <w:t>793 058 899</w:t>
      </w:r>
    </w:p>
    <w:p>
      <w:pPr>
        <w:pStyle w:val="Standard"/>
        <w:spacing w:lineRule="auto" w:line="360" w:before="115" w:after="0"/>
        <w:ind w:left="685" w:right="5503" w:hanging="0"/>
        <w:rPr/>
      </w:pPr>
      <w:r>
        <w:rPr>
          <w:rFonts w:cs="Times New Roman" w:ascii="Times New Roman" w:hAnsi="Times New Roman"/>
          <w:b/>
          <w:sz w:val="20"/>
          <w:lang w:val="en-US"/>
        </w:rPr>
        <w:t xml:space="preserve">e-mail: </w:t>
      </w:r>
    </w:p>
    <w:p>
      <w:pPr>
        <w:pStyle w:val="Standard"/>
        <w:spacing w:lineRule="auto" w:line="352" w:before="3" w:after="0"/>
        <w:ind w:left="685" w:right="5775" w:hanging="0"/>
        <w:rPr/>
      </w:pPr>
      <w:r>
        <w:rPr>
          <w:rFonts w:cs="Times New Roman" w:ascii="Times New Roman" w:hAnsi="Times New Roman"/>
          <w:b/>
          <w:sz w:val="20"/>
        </w:rPr>
        <w:t xml:space="preserve">NIP: </w:t>
      </w:r>
      <w:r>
        <w:rPr>
          <w:rFonts w:cs="Times New Roman" w:ascii="Times New Roman" w:hAnsi="Times New Roman"/>
          <w:b/>
          <w:sz w:val="20"/>
          <w:szCs w:val="20"/>
        </w:rPr>
        <w:t>9670596749</w:t>
      </w:r>
    </w:p>
    <w:p>
      <w:pPr>
        <w:pStyle w:val="Standard"/>
        <w:spacing w:lineRule="auto" w:line="360" w:before="22" w:after="0"/>
        <w:ind w:right="348" w:hanging="0"/>
        <w:rPr/>
      </w:pPr>
      <w:r>
        <w:rPr>
          <w:rFonts w:cs="Times New Roman" w:ascii="Times New Roman" w:hAnsi="Times New Roman"/>
          <w:b/>
          <w:sz w:val="20"/>
        </w:rPr>
        <w:t xml:space="preserve">             </w:t>
      </w:r>
      <w:r>
        <w:rPr>
          <w:rFonts w:cs="Times New Roman" w:ascii="Times New Roman" w:hAnsi="Times New Roman"/>
          <w:b/>
          <w:sz w:val="20"/>
        </w:rPr>
        <w:t>REGON</w:t>
      </w:r>
      <w:r>
        <w:rPr>
          <w:rFonts w:cs="Times New Roman" w:ascii="Times New Roman" w:hAnsi="Times New Roman"/>
          <w:sz w:val="20"/>
        </w:rPr>
        <w:t xml:space="preserve">: </w:t>
      </w:r>
      <w:r>
        <w:rPr>
          <w:rFonts w:cs="Times New Roman" w:ascii="Times New Roman" w:hAnsi="Times New Roman"/>
          <w:b/>
          <w:bCs/>
          <w:sz w:val="20"/>
          <w:szCs w:val="20"/>
        </w:rPr>
        <w:t>340719370</w:t>
      </w:r>
    </w:p>
    <w:p>
      <w:pPr>
        <w:pStyle w:val="Standard"/>
        <w:spacing w:before="6" w:after="0"/>
        <w:ind w:left="685" w:hanging="0"/>
        <w:rPr/>
      </w:pPr>
      <w:r>
        <w:rPr/>
      </w:r>
    </w:p>
    <w:p>
      <w:pPr>
        <w:pStyle w:val="Textbody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agwek2"/>
        <w:tabs>
          <w:tab w:val="left" w:pos="1370" w:leader="none"/>
          <w:tab w:val="left" w:pos="1371" w:leader="none"/>
        </w:tabs>
        <w:rPr/>
      </w:pPr>
      <w:r>
        <w:rPr>
          <w:rFonts w:cs="Times New Roman" w:ascii="Times New Roman" w:hAnsi="Times New Roman"/>
        </w:rPr>
        <w:t>Tryb udzielenia zamówienia,</w:t>
      </w:r>
      <w:r>
        <w:rPr>
          <w:rFonts w:cs="Times New Roman" w:ascii="Times New Roman" w:hAnsi="Times New Roman"/>
          <w:spacing w:val="-15"/>
        </w:rPr>
        <w:t xml:space="preserve"> </w:t>
      </w:r>
      <w:r>
        <w:rPr>
          <w:rFonts w:cs="Times New Roman" w:ascii="Times New Roman" w:hAnsi="Times New Roman"/>
        </w:rPr>
        <w:t>zasady:</w:t>
      </w:r>
    </w:p>
    <w:p>
      <w:pPr>
        <w:pStyle w:val="ListParagraph"/>
        <w:tabs>
          <w:tab w:val="left" w:pos="1371" w:leader="none"/>
        </w:tabs>
        <w:spacing w:lineRule="auto" w:line="360" w:before="175" w:after="0"/>
        <w:ind w:left="685" w:right="111" w:hanging="567"/>
        <w:jc w:val="both"/>
        <w:rPr/>
      </w:pPr>
      <w:r>
        <w:rPr>
          <w:rFonts w:cs="Times New Roman" w:ascii="Times New Roman" w:hAnsi="Times New Roman"/>
          <w:sz w:val="20"/>
        </w:rPr>
        <w:t>Niniejsze zapytanie ofertowe (ZO) prowadzone zgodnie z rozporządzeniem wykonawczym do Ustawy o wspieraniu zrównoważonego rozwoju sektora rybackiego  z udziałem Europejskiego Funduszu Morskiego i Rybackiego sprawie szczegółowych  warunków  i trybu konkurencyjnego wyboru wykonawców zadań ujętych w zestawieniu rzeczowo – finansowym operacji</w:t>
      </w:r>
    </w:p>
    <w:p>
      <w:pPr>
        <w:pStyle w:val="ListParagraph"/>
        <w:tabs>
          <w:tab w:val="left" w:pos="1370" w:leader="none"/>
          <w:tab w:val="left" w:pos="1371" w:leader="none"/>
        </w:tabs>
        <w:spacing w:before="4" w:after="0"/>
        <w:rPr/>
      </w:pPr>
      <w:r>
        <w:rPr>
          <w:rFonts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 xml:space="preserve">Przepisy ustawy z </w:t>
      </w:r>
      <w:r>
        <w:rPr>
          <w:rFonts w:cs="Times New Roman" w:ascii="Times New Roman" w:hAnsi="Times New Roman"/>
          <w:spacing w:val="2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dnia 29 stycznia 2004 r. Prawo Zamówień Publicznych (tekst jednolity: Dz.</w:t>
      </w:r>
    </w:p>
    <w:p>
      <w:pPr>
        <w:pStyle w:val="Textbody"/>
        <w:spacing w:before="113" w:after="0"/>
        <w:ind w:left="6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U. z 2018 r., poz. 1986 z późn. zm.)</w:t>
      </w:r>
    </w:p>
    <w:p>
      <w:pPr>
        <w:pStyle w:val="ListParagraph"/>
        <w:tabs>
          <w:tab w:val="left" w:pos="1370" w:leader="none"/>
          <w:tab w:val="left" w:pos="1371" w:leader="none"/>
        </w:tabs>
        <w:spacing w:lineRule="auto" w:line="360" w:before="115" w:after="0"/>
        <w:ind w:left="685" w:right="120" w:hanging="567"/>
        <w:rPr/>
      </w:pPr>
      <w:r>
        <w:rPr>
          <w:rFonts w:cs="Times New Roman" w:ascii="Times New Roman" w:hAnsi="Times New Roman"/>
          <w:sz w:val="20"/>
        </w:rPr>
        <w:t>Wszystkie koszty związane z realizację zadania będą ponoszone z zachowaniem zasad równego traktowania, uczciwej konkurencji i</w:t>
      </w:r>
      <w:r>
        <w:rPr>
          <w:rFonts w:cs="Times New Roman" w:ascii="Times New Roman" w:hAnsi="Times New Roman"/>
          <w:spacing w:val="-22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przejrzystości.</w:t>
      </w:r>
    </w:p>
    <w:p>
      <w:pPr>
        <w:pStyle w:val="Textbody"/>
        <w:rPr>
          <w:rFonts w:ascii="Times New Roman" w:hAnsi="Times New Roman" w:cs="Times New Roman"/>
          <w:sz w:val="19"/>
        </w:rPr>
      </w:pPr>
      <w:r>
        <w:rPr>
          <w:rFonts w:cs="Times New Roman" w:ascii="Times New Roman" w:hAnsi="Times New Roman"/>
          <w:sz w:val="19"/>
        </w:rPr>
      </w:r>
    </w:p>
    <w:p>
      <w:pPr>
        <w:pStyle w:val="Nagwek2"/>
        <w:tabs>
          <w:tab w:val="left" w:pos="1370" w:leader="none"/>
          <w:tab w:val="left" w:pos="1371" w:leader="none"/>
        </w:tabs>
        <w:rPr/>
      </w:pPr>
      <w:r>
        <w:rPr>
          <w:rFonts w:cs="Times New Roman" w:ascii="Times New Roman" w:hAnsi="Times New Roman"/>
        </w:rPr>
        <w:t>Opis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zadań:</w:t>
      </w:r>
    </w:p>
    <w:p>
      <w:pPr>
        <w:pStyle w:val="ListParagraph"/>
        <w:tabs>
          <w:tab w:val="left" w:pos="1370" w:leader="none"/>
          <w:tab w:val="left" w:pos="1371" w:leader="none"/>
        </w:tabs>
        <w:spacing w:lineRule="auto" w:line="276" w:before="175" w:after="0"/>
        <w:ind w:left="685" w:right="115" w:hanging="567"/>
        <w:rPr/>
      </w:pPr>
      <w:r>
        <w:rPr>
          <w:rFonts w:cs="Times New Roman" w:ascii="Times New Roman" w:hAnsi="Times New Roman"/>
          <w:sz w:val="20"/>
        </w:rPr>
        <w:t xml:space="preserve">Przedmiotem zamówienia  jest  </w:t>
      </w:r>
      <w:r>
        <w:rPr>
          <w:rFonts w:cs="Times New Roman" w:ascii="Times New Roman" w:hAnsi="Times New Roman"/>
          <w:b/>
          <w:sz w:val="20"/>
        </w:rPr>
        <w:t>„ Rozwój przedsiębiorstwa poprzez zakup wyposażenia gastronomicznego i medycznego celem podniesienia konkurencyjności”</w:t>
      </w:r>
    </w:p>
    <w:p>
      <w:pPr>
        <w:pStyle w:val="ListParagraph"/>
        <w:tabs>
          <w:tab w:val="left" w:pos="0" w:leader="none"/>
        </w:tabs>
        <w:spacing w:lineRule="auto" w:line="276" w:before="39" w:after="0"/>
        <w:ind w:left="0" w:hanging="0"/>
        <w:rPr/>
      </w:pPr>
      <w:r>
        <w:rPr>
          <w:rFonts w:cs="Times New Roman" w:ascii="Times New Roman" w:hAnsi="Times New Roman"/>
          <w:sz w:val="20"/>
        </w:rPr>
        <w:t xml:space="preserve">Szczegółowy opis przedmiotu zamówienia stanowi </w:t>
      </w:r>
      <w:r>
        <w:rPr>
          <w:rFonts w:cs="Times New Roman" w:ascii="Times New Roman" w:hAnsi="Times New Roman"/>
          <w:b/>
          <w:sz w:val="20"/>
        </w:rPr>
        <w:t>„Opis zadania” – Załącznik nr 4 do</w:t>
      </w:r>
      <w:r>
        <w:rPr>
          <w:rFonts w:cs="Times New Roman" w:ascii="Times New Roman" w:hAnsi="Times New Roman"/>
          <w:b/>
          <w:spacing w:val="-27"/>
          <w:sz w:val="20"/>
        </w:rPr>
        <w:t xml:space="preserve"> </w:t>
      </w:r>
      <w:r>
        <w:rPr>
          <w:rFonts w:cs="Times New Roman" w:ascii="Times New Roman" w:hAnsi="Times New Roman"/>
          <w:b/>
          <w:sz w:val="20"/>
        </w:rPr>
        <w:t>ZO.</w:t>
      </w:r>
    </w:p>
    <w:p>
      <w:pPr>
        <w:pStyle w:val="ListParagraph"/>
        <w:tabs>
          <w:tab w:val="left" w:pos="1370" w:leader="none"/>
          <w:tab w:val="left" w:pos="1371" w:leader="none"/>
        </w:tabs>
        <w:spacing w:lineRule="auto" w:line="276" w:before="44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Zakup jest realizowany w ramach operacji w ramach działania </w:t>
      </w:r>
      <w:r>
        <w:rPr>
          <w:rFonts w:cs="Times New Roman" w:ascii="Times New Roman" w:hAnsi="Times New Roman"/>
          <w:b/>
          <w:sz w:val="20"/>
        </w:rPr>
        <w:t>4.2 „Realizacja lokalnych strategii rozwoju kierowanych przez społeczność” w ramach Priorytetu 4, Zwiększenie zatrudnienia i spójności terytorialnej, objętego Programem Operacyjnym „Rybactwo i Morze”</w:t>
      </w:r>
    </w:p>
    <w:p>
      <w:pPr>
        <w:pStyle w:val="ListParagraph"/>
        <w:shd w:val="clear" w:color="auto" w:fill="FFFFFF"/>
        <w:tabs>
          <w:tab w:val="left" w:pos="1370" w:leader="none"/>
          <w:tab w:val="left" w:pos="1371" w:leader="none"/>
        </w:tabs>
        <w:spacing w:lineRule="auto" w:line="276" w:before="44" w:after="0"/>
        <w:rPr>
          <w:rFonts w:ascii="Times New Roman" w:hAnsi="Times New Roman" w:cs="Times New Roman"/>
          <w:sz w:val="20"/>
          <w:highlight w:val="white"/>
        </w:rPr>
      </w:pPr>
      <w:r>
        <w:rPr>
          <w:rFonts w:cs="Times New Roman" w:ascii="Times New Roman" w:hAnsi="Times New Roman"/>
          <w:sz w:val="20"/>
          <w:shd w:fill="FFFFFF" w:val="clear"/>
        </w:rPr>
        <w:t xml:space="preserve">Numer umowy o przyznaniu pomocy: </w:t>
      </w:r>
      <w:r>
        <w:rPr>
          <w:rFonts w:cs="Times New Roman" w:ascii="Times New Roman" w:hAnsi="Times New Roman"/>
          <w:b/>
          <w:sz w:val="20"/>
          <w:shd w:fill="FFFFFF" w:val="clear"/>
        </w:rPr>
        <w:t>00247-6523.2-SW1610335/19</w:t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Termin wykonania zamówienia:</w:t>
      </w:r>
    </w:p>
    <w:p>
      <w:pPr>
        <w:pStyle w:val="Standard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ind w:left="685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Termin realizacji zadania: nie później niż </w:t>
      </w:r>
      <w:r>
        <w:rPr>
          <w:rFonts w:cs="Times New Roman" w:ascii="Times New Roman" w:hAnsi="Times New Roman"/>
          <w:b/>
          <w:sz w:val="20"/>
        </w:rPr>
        <w:t>30.11.2020r</w:t>
      </w:r>
    </w:p>
    <w:p>
      <w:pPr>
        <w:pStyle w:val="Standard"/>
        <w:ind w:left="685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ind w:left="685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Warunki udziału w postępowaniu.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W postępowaniu wziąć mogą udział Wykonawcy, którzy:</w:t>
      </w:r>
    </w:p>
    <w:p>
      <w:pPr>
        <w:pStyle w:val="ListParagraph"/>
        <w:spacing w:lineRule="auto" w:line="360"/>
        <w:ind w:left="47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– </w:t>
      </w:r>
      <w:r>
        <w:rPr>
          <w:rFonts w:cs="Times New Roman" w:ascii="Times New Roman" w:hAnsi="Times New Roman"/>
          <w:sz w:val="20"/>
        </w:rPr>
        <w:t xml:space="preserve">posiadają uprawienia do wykonywania określonej działalności lub czynności, jeżeli przepisy prawa nakładają obowiązek ich posiadania; </w:t>
      </w:r>
    </w:p>
    <w:p>
      <w:pPr>
        <w:pStyle w:val="ListParagraph"/>
        <w:spacing w:lineRule="auto" w:line="360"/>
        <w:ind w:left="47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– </w:t>
      </w:r>
      <w:r>
        <w:rPr>
          <w:rFonts w:cs="Times New Roman" w:ascii="Times New Roman" w:hAnsi="Times New Roman"/>
          <w:sz w:val="20"/>
        </w:rPr>
        <w:t>posiadają wiedzę i doświadczenie,</w:t>
      </w:r>
    </w:p>
    <w:p>
      <w:pPr>
        <w:pStyle w:val="ListParagraph"/>
        <w:spacing w:lineRule="auto" w:line="360"/>
        <w:ind w:left="47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– </w:t>
      </w:r>
      <w:r>
        <w:rPr>
          <w:rFonts w:cs="Times New Roman" w:ascii="Times New Roman" w:hAnsi="Times New Roman"/>
          <w:sz w:val="20"/>
        </w:rPr>
        <w:t>dysponują odpowiednim potencjałem technicznym oraz osobami zdolnymi do wykonania zamówienia,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– </w:t>
      </w:r>
      <w:r>
        <w:rPr>
          <w:rFonts w:cs="Times New Roman" w:ascii="Times New Roman" w:hAnsi="Times New Roman"/>
          <w:sz w:val="20"/>
        </w:rPr>
        <w:t>znajdują się w sytuacji ekonomicznej i finansowej zapewniającej realizację zamówienia.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Zamawiający dokona oceny spełniania ww. warunków udziału w postępowaniu w oparciu o analizę oświadczeń lub dokumentów załączonych do oferty, na zasadzie: spełnia/nie spełnia. W tym przede wszystkim na podstawie oświadczenia stanowiącego załącznik nr 2 do Zapytania Ofertowego.</w:t>
      </w:r>
    </w:p>
    <w:p>
      <w:pPr>
        <w:pStyle w:val="ListParagraph"/>
        <w:spacing w:lineRule="auto" w:line="360"/>
        <w:ind w:left="47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Warunku wykluczenia/przesłanki odrzucenia oferty.</w:t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567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 postępowania wyklucza się Wykonawców, którzy nie wykazali spełnienia warunków udziału w postępowaniu.</w:t>
      </w:r>
    </w:p>
    <w:p>
      <w:pPr>
        <w:pStyle w:val="ListParagraph"/>
        <w:spacing w:lineRule="auto" w:line="360"/>
        <w:ind w:left="426" w:hanging="567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Oferta podlega odrzuceniu w przypadku, gdy: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1) jej treść nie odpowiada treści zapytania ofertowego lub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2) została złożona przez podmiot:</w:t>
      </w:r>
    </w:p>
    <w:p>
      <w:pPr>
        <w:pStyle w:val="ListParagraph"/>
        <w:spacing w:lineRule="auto" w:line="360"/>
        <w:ind w:left="42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a) niespełniający warunków udziału w postępowaniu w sprawie wyboru przez beneficjenta wykonawcy    danego zadania ujętego w zestawieniu rzeczowo – finansowym operacji określonych w zapytaniu ofertowym (oświadczenie o spełnianiu warunków udziału w postępowaniu stanowi załącznik nr 2 do Zapytania Ofertowego) lub</w:t>
      </w:r>
    </w:p>
    <w:p>
      <w:pPr>
        <w:pStyle w:val="ListParagraph"/>
        <w:spacing w:lineRule="auto" w:line="360"/>
        <w:ind w:left="426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b) powiązany osobowo lub kapitałowo z beneficjentem lub osobami, o których mowa w art. 43a ust. 4 ustawy (Oświadczenie o braku powiązań osobowych lub kapitałowych stanowi załącznik nr 3 do Zapytania ofertowego), lub</w:t>
      </w:r>
    </w:p>
    <w:p>
      <w:pPr>
        <w:pStyle w:val="Standard"/>
        <w:spacing w:lineRule="auto" w:line="360"/>
        <w:ind w:left="567" w:hanging="14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3) została złożona po terminie składania ofert określonym w zapytaniu ofertowym.</w:t>
      </w:r>
    </w:p>
    <w:p>
      <w:pPr>
        <w:pStyle w:val="Standard"/>
        <w:spacing w:lineRule="auto" w:line="360"/>
        <w:ind w:left="142" w:hanging="14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c) Oferta nie podlega odrzuceniu, mimo że została złożona przez podmiot powiązany osobowo lub kapitałowo z osobą o której mowa w art. 43a ust 4 ustawy, jeżeli osoba ta nie będzie brała udziału w dalszym postępowaniu w sprawie wyboru przez beneficjenta wykonawcy danego zadania ujętego w zestawieniu rzeczowo-finansowym operacji.</w:t>
      </w:r>
    </w:p>
    <w:p>
      <w:pPr>
        <w:pStyle w:val="Standard"/>
        <w:spacing w:lineRule="auto" w:line="360"/>
        <w:ind w:left="142" w:hanging="14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d) W przypadku o którym mowa w art. 57h ust. 3 ustawy, przepisu ust. 1 pkt 2 lit. B nie stosuje się. W takim przypadku oferta podlega odrzuceniu również, jeżeli czynności związane z przygotowaniem lub przeprowadzeniem postępowania o udzielenie zamówienia publicznego wykonała osoba podlegająca wyłączeniu na podstawie art. 17 ust. 1 pkt 1-4 ustawy z dnia 29 stycznia 2004 r.  - Prawo zamówień publicznych (Dz. U. z 2015 r. poz. 2164, z późn. zm.3)), chyba, że osoba ta nie będzie brała udziału w dalszym postępowaniu o udzielenie zamówienia publicznego.</w:t>
      </w:r>
    </w:p>
    <w:p>
      <w:pPr>
        <w:pStyle w:val="Standard"/>
        <w:spacing w:lineRule="auto" w:line="360"/>
        <w:ind w:left="142" w:hanging="14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spacing w:lineRule="auto" w:line="360"/>
        <w:ind w:left="142" w:hanging="14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spacing w:lineRule="auto" w:line="360"/>
        <w:ind w:left="142" w:hanging="14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andard"/>
        <w:spacing w:lineRule="auto" w:line="360"/>
        <w:ind w:left="142" w:hanging="14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Powiązania osobowe lub kapitałowe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Zamówienia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wykonawcy, a wykonawcą, polegające w szczególności na:</w:t>
      </w:r>
    </w:p>
    <w:p>
      <w:pPr>
        <w:pStyle w:val="Default"/>
        <w:ind w:left="78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uczestniczeniu w spółce jako wspólnik spółki cywilnej lub spółki osobowej;</w:t>
      </w:r>
    </w:p>
    <w:p>
      <w:pPr>
        <w:pStyle w:val="Default"/>
        <w:spacing w:before="0" w:after="126"/>
        <w:ind w:left="78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posiadaniu co najmniej 10 % udziałów lub akcji;</w:t>
      </w:r>
    </w:p>
    <w:p>
      <w:pPr>
        <w:pStyle w:val="Default"/>
        <w:spacing w:before="0" w:after="126"/>
        <w:ind w:left="78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pełnieniu funkcji członka organu nadzorczego lub zarządzającego, prokurenta, pełnomocnika;</w:t>
      </w:r>
    </w:p>
    <w:p>
      <w:pPr>
        <w:pStyle w:val="Default"/>
        <w:spacing w:before="0" w:after="126"/>
        <w:ind w:left="78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pozostawaniu w związku małżeńskim, w stosunku pokrewieństwa lub powinowactwa w linii prostej;</w:t>
      </w:r>
    </w:p>
    <w:p>
      <w:pPr>
        <w:pStyle w:val="Default"/>
        <w:ind w:left="78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>
      <w:pPr>
        <w:pStyle w:val="Default"/>
        <w:ind w:left="78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Oświadczenie o braku powiązań osobowych lub kapitałowych </w:t>
      </w:r>
      <w:r>
        <w:rPr>
          <w:rFonts w:cs="Times New Roman" w:ascii="Times New Roman" w:hAnsi="Times New Roman"/>
          <w:sz w:val="20"/>
          <w:szCs w:val="20"/>
        </w:rPr>
        <w:t xml:space="preserve">stanowi </w:t>
      </w:r>
      <w:r>
        <w:rPr>
          <w:rFonts w:cs="Times New Roman" w:ascii="Times New Roman" w:hAnsi="Times New Roman"/>
          <w:bCs/>
          <w:sz w:val="20"/>
          <w:szCs w:val="20"/>
        </w:rPr>
        <w:t>załącznik nr 3 do ZO.</w:t>
      </w:r>
    </w:p>
    <w:p>
      <w:pPr>
        <w:pStyle w:val="Default"/>
        <w:ind w:left="786" w:hanging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Default"/>
        <w:ind w:left="786" w:hanging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Miejsce oraz termin składania i otwarcia ofert:</w:t>
      </w:r>
    </w:p>
    <w:p>
      <w:pPr>
        <w:pStyle w:val="Default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Oferty należy składać w terminie ………………… r. do godziny ……………., pocztą bądź osobiście na adres: Letniskowa 29, 76-107 Jarosławiec</w:t>
      </w:r>
    </w:p>
    <w:p>
      <w:pPr>
        <w:pStyle w:val="Default"/>
        <w:spacing w:lineRule="auto" w: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</w:rPr>
        <w:t>rozpatrywane i będą podlegały odrzuceniu.</w:t>
      </w:r>
    </w:p>
    <w:p>
      <w:pPr>
        <w:pStyle w:val="Default"/>
        <w:spacing w:lineRule="auto" w: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Oferent może przed upływem terminu składania ofert zmienić lub wycofać swoją ofertę.</w:t>
      </w:r>
    </w:p>
    <w:p>
      <w:pPr>
        <w:pStyle w:val="Default"/>
        <w:spacing w:lineRule="auto" w: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W toku badania i oceny ofert zamawiający może żądać od oferentów wyjaśnień dotyczących treści złożonych ofert.</w:t>
      </w:r>
    </w:p>
    <w:p>
      <w:pPr>
        <w:pStyle w:val="Default"/>
        <w:spacing w:lineRule="auto" w: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Nie można składać ofert częściowych</w:t>
      </w:r>
    </w:p>
    <w:p>
      <w:pPr>
        <w:pStyle w:val="Default"/>
        <w:spacing w:lineRule="auto" w: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Opis sposobu przygotowania oferty:</w:t>
      </w:r>
    </w:p>
    <w:p>
      <w:pPr>
        <w:pStyle w:val="Default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0"/>
          <w:szCs w:val="20"/>
        </w:rPr>
        <w:t xml:space="preserve">Ofertę sporządza się w języku polskim, w formie pisemnej, przy użyciu formularza (oferty cenowej) stanowiącego </w:t>
      </w:r>
      <w:r>
        <w:rPr>
          <w:rFonts w:cs="Times New Roman" w:ascii="Times New Roman" w:hAnsi="Times New Roman"/>
          <w:bCs/>
          <w:sz w:val="20"/>
          <w:szCs w:val="20"/>
        </w:rPr>
        <w:t>załącznik nr 1 do ZO</w:t>
      </w:r>
      <w:r>
        <w:rPr>
          <w:rFonts w:cs="Times New Roman" w:ascii="Times New Roman" w:hAnsi="Times New Roman"/>
          <w:sz w:val="20"/>
          <w:szCs w:val="20"/>
        </w:rPr>
        <w:t>, wypełnionego na maszynie do pisania, komputerze albo ręcznie, długopisem w sposób czytelny.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Oferta musi być złożona przed upływem terminu składania ofert.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Każdy Wykonawca może złożyć tylko jedną ofertę.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Wykonawca złoży ofertę zgodnie z wymaganiami zawartymi w treści zapytania.</w:t>
      </w:r>
    </w:p>
    <w:p>
      <w:pPr>
        <w:pStyle w:val="Default"/>
        <w:spacing w:lineRule="auto" w:line="360"/>
        <w:ind w:left="1045" w:hanging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Wybór najkorzystniejszej oferty</w:t>
      </w:r>
    </w:p>
    <w:p>
      <w:pPr>
        <w:pStyle w:val="Default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Informacja o wyborze najkorzystniejszej oferty zostanie wysłana do wszystkich potencjalnych wykonawców, do których zostało skierowane zapytanie ofertowe.</w:t>
      </w:r>
    </w:p>
    <w:p>
      <w:pPr>
        <w:pStyle w:val="Default"/>
        <w:ind w:left="10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1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Ww. informacja zawierać będzie informację o:</w:t>
      </w:r>
    </w:p>
    <w:p>
      <w:pPr>
        <w:pStyle w:val="Default"/>
        <w:spacing w:before="0" w:after="126"/>
        <w:ind w:left="104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wyborze wykonawcy albo</w:t>
      </w:r>
    </w:p>
    <w:p>
      <w:pPr>
        <w:pStyle w:val="Default"/>
        <w:spacing w:before="0" w:after="126"/>
        <w:ind w:left="104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odrzuceniu wszystkich złożonych ofert, albo</w:t>
      </w:r>
    </w:p>
    <w:p>
      <w:pPr>
        <w:pStyle w:val="Default"/>
        <w:spacing w:before="0" w:after="126"/>
        <w:ind w:left="104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niezłożeniu żadnej oferty, albo</w:t>
      </w:r>
    </w:p>
    <w:p>
      <w:pPr>
        <w:pStyle w:val="Default"/>
        <w:ind w:left="104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zakończeniu tego postępowania bez wyboru żadnej z ofert.</w:t>
      </w:r>
    </w:p>
    <w:p>
      <w:pPr>
        <w:pStyle w:val="Default"/>
        <w:ind w:left="104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ind w:left="104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ind w:left="104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Opis kryteriów, którymi Zamawiający będzie się kierował przy wyborze oferty, wraz z podaniem </w:t>
      </w: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wag tych kryteriów i sposobu oceny ofert:</w:t>
      </w:r>
    </w:p>
    <w:p>
      <w:pPr>
        <w:pStyle w:val="ListParagraph"/>
        <w:spacing w:lineRule="auto" w:line="288"/>
        <w:ind w:left="685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C – cena brutto oferty </w:t>
        <w:tab/>
        <w:t xml:space="preserve">              - 80% - waga 2 </w:t>
      </w:r>
      <w:r>
        <w:rPr>
          <w:rFonts w:cs="Times New Roman" w:ascii="Times New Roman" w:hAnsi="Times New Roman"/>
          <w:sz w:val="20"/>
          <w:szCs w:val="20"/>
        </w:rPr>
        <w:t>(sposób oceny: minimalizacja)</w:t>
      </w:r>
    </w:p>
    <w:p>
      <w:pPr>
        <w:pStyle w:val="ListParagraph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G –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okres gwarancji </w:t>
        <w:tab/>
        <w:tab/>
        <w:t xml:space="preserve">- 20% - waga 1 </w:t>
      </w:r>
      <w:r>
        <w:rPr>
          <w:rFonts w:cs="Times New Roman" w:ascii="Times New Roman" w:hAnsi="Times New Roman"/>
          <w:sz w:val="20"/>
          <w:szCs w:val="20"/>
        </w:rPr>
        <w:t>(sposób oceny: maksymalizacja)</w:t>
      </w:r>
    </w:p>
    <w:p>
      <w:pPr>
        <w:pStyle w:val="Default"/>
        <w:spacing w:lineRule="auto" w:line="360"/>
        <w:ind w:left="709" w:hanging="0"/>
        <w:rPr>
          <w:rFonts w:ascii="Times New Roman" w:hAnsi="Times New Roman" w:cs="Times New Roman"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spacing w:lineRule="auto" w:line="360"/>
        <w:ind w:left="709" w:hanging="0"/>
        <w:rPr/>
      </w:pPr>
      <w:r>
        <w:rPr>
          <w:rFonts w:cs="Times New Roman" w:ascii="Times New Roman" w:hAnsi="Times New Roman"/>
          <w:bCs/>
          <w:color w:val="00000A"/>
          <w:sz w:val="20"/>
          <w:szCs w:val="20"/>
        </w:rPr>
        <w:t>Oferty oceniane będą punktowo</w:t>
      </w:r>
      <w:r>
        <w:rPr>
          <w:rFonts w:cs="Times New Roman" w:ascii="Times New Roman" w:hAnsi="Times New Roman"/>
          <w:bCs/>
          <w:sz w:val="20"/>
          <w:szCs w:val="20"/>
        </w:rPr>
        <w:t>. Maksymalna liczba punktów jaką po uwzględnieniu wag może osiągnąć oferta w obu kryteriach wynosi 100. Punkty będą przyznawane według następujących zasad:</w:t>
      </w:r>
    </w:p>
    <w:p>
      <w:pPr>
        <w:pStyle w:val="BodyTextIndent2"/>
        <w:spacing w:lineRule="auto" w:line="288"/>
        <w:ind w:left="70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Kryterium „cena brutto oferty”:</w:t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>C</w:t>
      </w:r>
      <w:r>
        <w:rPr>
          <w:rFonts w:cs="Times New Roman" w:ascii="Times New Roman" w:hAnsi="Times New Roman"/>
          <w:sz w:val="20"/>
          <w:szCs w:val="20"/>
          <w:vertAlign w:val="subscript"/>
        </w:rPr>
        <w:t>min ofert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</w:t>
      </w:r>
      <w:r>
        <w:rPr>
          <w:rFonts w:cs="Times New Roman" w:ascii="Times New Roman" w:hAnsi="Times New Roman"/>
          <w:sz w:val="20"/>
          <w:szCs w:val="20"/>
          <w:vertAlign w:val="subscript"/>
        </w:rPr>
        <w:t>x</w:t>
      </w:r>
      <w:r>
        <w:rPr>
          <w:rFonts w:cs="Times New Roman" w:ascii="Times New Roman" w:hAnsi="Times New Roman"/>
          <w:sz w:val="20"/>
          <w:szCs w:val="20"/>
        </w:rPr>
        <w:t xml:space="preserve"> =</w:t>
        <w:tab/>
        <w:tab/>
        <w:tab/>
        <w:tab/>
        <w:t xml:space="preserve">  * waga 2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>C</w:t>
      </w:r>
      <w:r>
        <w:rPr>
          <w:rFonts w:cs="Times New Roman" w:ascii="Times New Roman" w:hAnsi="Times New Roman"/>
          <w:sz w:val="20"/>
          <w:szCs w:val="20"/>
          <w:vertAlign w:val="subscript"/>
        </w:rPr>
        <w:t>oferty x</w:t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</w:t>
      </w:r>
      <w:r>
        <w:rPr>
          <w:rFonts w:cs="Times New Roman" w:ascii="Times New Roman" w:hAnsi="Times New Roman"/>
          <w:sz w:val="20"/>
          <w:szCs w:val="20"/>
          <w:vertAlign w:val="subscript"/>
        </w:rPr>
        <w:t>x</w:t>
        <w:tab/>
        <w:tab/>
      </w:r>
      <w:r>
        <w:rPr>
          <w:rFonts w:cs="Times New Roman" w:ascii="Times New Roman" w:hAnsi="Times New Roman"/>
          <w:sz w:val="20"/>
          <w:szCs w:val="20"/>
        </w:rPr>
        <w:t>- liczba punktów dla badanej oferty w kryterium „cena brutto oferty”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</w:t>
      </w:r>
      <w:r>
        <w:rPr>
          <w:rFonts w:cs="Times New Roman" w:ascii="Times New Roman" w:hAnsi="Times New Roman"/>
          <w:sz w:val="20"/>
          <w:szCs w:val="20"/>
          <w:vertAlign w:val="subscript"/>
        </w:rPr>
        <w:t>min ofert</w:t>
        <w:tab/>
        <w:t xml:space="preserve">                       </w:t>
      </w:r>
      <w:r>
        <w:rPr>
          <w:rFonts w:cs="Times New Roman" w:ascii="Times New Roman" w:hAnsi="Times New Roman"/>
          <w:sz w:val="20"/>
          <w:szCs w:val="20"/>
        </w:rPr>
        <w:t>- najniższa zaoferowana cena spośród wszystkich badanych ofert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</w:t>
      </w:r>
      <w:r>
        <w:rPr>
          <w:rFonts w:cs="Times New Roman" w:ascii="Times New Roman" w:hAnsi="Times New Roman"/>
          <w:sz w:val="20"/>
          <w:szCs w:val="20"/>
          <w:vertAlign w:val="subscript"/>
        </w:rPr>
        <w:t>oferty x</w:t>
        <w:tab/>
        <w:t xml:space="preserve"> </w:t>
        <w:tab/>
      </w:r>
      <w:r>
        <w:rPr>
          <w:rFonts w:cs="Times New Roman" w:ascii="Times New Roman" w:hAnsi="Times New Roman"/>
          <w:sz w:val="20"/>
          <w:szCs w:val="20"/>
        </w:rPr>
        <w:t>- cena zaoferowana w ofercie badanej</w:t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waga 3</w:t>
        <w:tab/>
        <w:tab/>
        <w:t>- 100 x 80% (kryterium dot. ceny)</w:t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Kryterium „okres gwarancji w miesiącach”:</w:t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>G</w:t>
      </w:r>
      <w:r>
        <w:rPr>
          <w:rFonts w:cs="Times New Roman" w:ascii="Times New Roman" w:hAnsi="Times New Roman"/>
          <w:sz w:val="20"/>
          <w:szCs w:val="20"/>
          <w:vertAlign w:val="subscript"/>
        </w:rPr>
        <w:t>oferty x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G</w:t>
      </w:r>
      <w:r>
        <w:rPr>
          <w:rFonts w:cs="Times New Roman" w:ascii="Times New Roman" w:hAnsi="Times New Roman"/>
          <w:sz w:val="20"/>
          <w:szCs w:val="20"/>
          <w:vertAlign w:val="subscript"/>
        </w:rPr>
        <w:t>x</w:t>
      </w:r>
      <w:r>
        <w:rPr>
          <w:rFonts w:cs="Times New Roman" w:ascii="Times New Roman" w:hAnsi="Times New Roman"/>
          <w:sz w:val="20"/>
          <w:szCs w:val="20"/>
        </w:rPr>
        <w:t xml:space="preserve"> =</w:t>
        <w:tab/>
        <w:tab/>
        <w:tab/>
        <w:tab/>
        <w:t xml:space="preserve">  * waga 1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ab/>
        <w:tab/>
        <w:t>G</w:t>
      </w:r>
      <w:r>
        <w:rPr>
          <w:rFonts w:cs="Times New Roman" w:ascii="Times New Roman" w:hAnsi="Times New Roman"/>
          <w:bCs/>
          <w:sz w:val="20"/>
          <w:szCs w:val="20"/>
          <w:vertAlign w:val="subscript"/>
        </w:rPr>
        <w:t>max ofert</w:t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G</w:t>
      </w:r>
      <w:r>
        <w:rPr>
          <w:rFonts w:cs="Times New Roman" w:ascii="Times New Roman" w:hAnsi="Times New Roman"/>
          <w:sz w:val="20"/>
          <w:szCs w:val="20"/>
          <w:vertAlign w:val="subscript"/>
        </w:rPr>
        <w:t>x</w:t>
        <w:tab/>
        <w:tab/>
      </w:r>
      <w:r>
        <w:rPr>
          <w:rFonts w:cs="Times New Roman" w:ascii="Times New Roman" w:hAnsi="Times New Roman"/>
          <w:sz w:val="20"/>
          <w:szCs w:val="20"/>
        </w:rPr>
        <w:t>- liczba punktów dla badanej oferty w kryterium „okres gwarancji w miesiącach”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G</w:t>
      </w:r>
      <w:r>
        <w:rPr>
          <w:rFonts w:cs="Times New Roman" w:ascii="Times New Roman" w:hAnsi="Times New Roman"/>
          <w:sz w:val="20"/>
          <w:szCs w:val="20"/>
          <w:vertAlign w:val="subscript"/>
        </w:rPr>
        <w:t>max ofert</w:t>
      </w:r>
      <w:r>
        <w:rPr>
          <w:rFonts w:cs="Times New Roman" w:ascii="Times New Roman" w:hAnsi="Times New Roman"/>
          <w:sz w:val="20"/>
          <w:szCs w:val="20"/>
        </w:rPr>
        <w:t xml:space="preserve">  </w:t>
        <w:tab/>
        <w:t>- maksymalny okres gwarancji spośród wszystkich badanych ofert</w:t>
      </w:r>
    </w:p>
    <w:p>
      <w:pPr>
        <w:pStyle w:val="Standard"/>
        <w:spacing w:lineRule="auto" w:line="288"/>
        <w:ind w:left="709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G</w:t>
      </w:r>
      <w:r>
        <w:rPr>
          <w:rFonts w:cs="Times New Roman" w:ascii="Times New Roman" w:hAnsi="Times New Roman"/>
          <w:sz w:val="20"/>
          <w:szCs w:val="20"/>
          <w:vertAlign w:val="subscript"/>
        </w:rPr>
        <w:t>oferty x</w:t>
      </w:r>
      <w:r>
        <w:rPr>
          <w:rFonts w:cs="Times New Roman" w:ascii="Times New Roman" w:hAnsi="Times New Roman"/>
          <w:sz w:val="20"/>
          <w:szCs w:val="20"/>
        </w:rPr>
        <w:t xml:space="preserve"> </w:t>
        <w:tab/>
        <w:t xml:space="preserve">               - okres gwarancji w ofercie badanej</w:t>
      </w:r>
    </w:p>
    <w:p>
      <w:pPr>
        <w:pStyle w:val="Standard"/>
        <w:spacing w:lineRule="auto" w:line="288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waga 2</w:t>
        <w:tab/>
        <w:tab/>
        <w:t>- 100 x 20% (kryterium dot. okresu gwarancji)</w:t>
      </w:r>
    </w:p>
    <w:p>
      <w:pPr>
        <w:pStyle w:val="ListParagraph"/>
        <w:spacing w:lineRule="auto" w:line="360"/>
        <w:ind w:left="70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/>
        <w:ind w:left="70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UWAGA:</w:t>
      </w:r>
    </w:p>
    <w:p>
      <w:pPr>
        <w:pStyle w:val="ListParagraph"/>
        <w:spacing w:lineRule="auto" w:line="36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Kryterium „okres gwarancji w miesiącach” dotyczy gwarancji na elektryczny wózek widłowy</w:t>
      </w:r>
    </w:p>
    <w:p>
      <w:pPr>
        <w:pStyle w:val="ListParagraph"/>
        <w:spacing w:lineRule="auto" w:line="360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MINIMALNY wymagany przez Zamawiającego okres gwarancji na zakup elektrycznego wózka widłowego, parametry: wózek elektryczny, udźwig nominalny 2000kg, wysokość podnoszenia min 3300mm wynosi 24 miesiące. W przypadku podania przez Wykonawcę krótszego niż wymagany okres gwarancji, oferta Wykonawcy zostanie odrzucona, jako niezgodna z warunkami zapytania ofertowego.</w:t>
      </w:r>
    </w:p>
    <w:p>
      <w:pPr>
        <w:pStyle w:val="ListParagraph"/>
        <w:spacing w:lineRule="auto" w:line="360"/>
        <w:ind w:left="709" w:hanging="567"/>
        <w:jc w:val="both"/>
        <w:rPr/>
      </w:pPr>
      <w:r>
        <w:rPr>
          <w:rFonts w:cs="Times New Roman" w:ascii="Times New Roman" w:hAnsi="Times New Roman"/>
          <w:color w:val="0070C0"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MAKSYMALNY okres gwarancji wynosi 36 miesięcy. Jeżeli Wykonawca zaoferuje okres gwarancji dłuższy niż podany wyżej, do oceny ofert zostanie przyjęty okres maksymalny i taki zostanie uwzględniony w umowie.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300" w:right="1278" w:header="1134" w:top="1629" w:footer="361" w:bottom="5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spacing w:lineRule="auto" w:line="36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przypadku, gdy Wykonawca nie wskaże oferowanego okresu gwarancji, Zamawiający uzna, że Wykonawca oferuje okres gwarancji w minimalnym wymiarze wymaganym w niniejszym zapytaniu ofertowym</w:t>
      </w:r>
    </w:p>
    <w:p>
      <w:pPr>
        <w:pStyle w:val="Textbody"/>
        <w:tabs>
          <w:tab w:val="left" w:pos="7549" w:leader="none"/>
        </w:tabs>
        <w:spacing w:before="9" w:after="0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p>
      <w:pPr>
        <w:pStyle w:val="ListParagraph"/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Dodatkowe informacje, w tym dotyczące finansowania projektu</w:t>
      </w:r>
    </w:p>
    <w:p>
      <w:pPr>
        <w:pStyle w:val="ListParagraph"/>
        <w:numPr>
          <w:ilvl w:val="0"/>
          <w:numId w:val="8"/>
        </w:numPr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cs="Times New Roman" w:ascii="Times New Roman" w:hAnsi="Times New Roman"/>
          <w:sz w:val="20"/>
          <w:szCs w:val="20"/>
          <w:highlight w:val="yellow"/>
        </w:rPr>
        <w:t xml:space="preserve">Dodatkowe informacje udzielane są u Zamawiającego: </w:t>
      </w:r>
    </w:p>
    <w:p>
      <w:pPr>
        <w:pStyle w:val="ListParagraph"/>
        <w:spacing w:lineRule="auto" w:line="288"/>
        <w:ind w:left="1701" w:right="1213" w:hanging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cs="Times New Roman" w:ascii="Times New Roman" w:hAnsi="Times New Roman"/>
          <w:sz w:val="20"/>
          <w:szCs w:val="20"/>
          <w:highlight w:val="yellow"/>
        </w:rPr>
        <w:t>Sylwia Urbańska -</w:t>
      </w:r>
    </w:p>
    <w:p>
      <w:pPr>
        <w:pStyle w:val="ListParagraph"/>
        <w:spacing w:lineRule="auto" w:line="288"/>
        <w:ind w:left="1701" w:right="121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Wykaz załączników do zapytania ofertowego:</w:t>
      </w:r>
    </w:p>
    <w:p>
      <w:pPr>
        <w:pStyle w:val="ListParagraph"/>
        <w:numPr>
          <w:ilvl w:val="0"/>
          <w:numId w:val="9"/>
        </w:numPr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Oferta cenowa – załącznik nr 1 do ZO</w:t>
      </w:r>
    </w:p>
    <w:p>
      <w:pPr>
        <w:pStyle w:val="ListParagraph"/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Oświadczenie o spełnianiu warunków udziału w postępowaniu – Załącznik nr 2 do ZO</w:t>
      </w:r>
    </w:p>
    <w:p>
      <w:pPr>
        <w:pStyle w:val="ListParagraph"/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Oświadczenie o braku powiązań osobowych lub kapitałowych – Załącznik nr 3 do ZO</w:t>
      </w:r>
    </w:p>
    <w:p>
      <w:pPr>
        <w:pStyle w:val="ListParagraph"/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Opis zadań – Załącznik nr 4 ZO.</w:t>
      </w:r>
    </w:p>
    <w:p>
      <w:pPr>
        <w:pStyle w:val="ListParagraph"/>
        <w:spacing w:lineRule="auto" w:line="288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spacing w:before="9" w:after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280" w:right="65" w:header="993" w:top="1050" w:footer="0" w:bottom="3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LineNumbers/>
      <w:tabs>
        <w:tab w:val="center" w:pos="4536" w:leader="none"/>
        <w:tab w:val="right" w:pos="9072" w:leader="none"/>
      </w:tabs>
      <w:spacing w:before="40" w:after="0"/>
      <w:ind w:left="-1276" w:firstLine="992"/>
      <w:jc w:val="center"/>
      <w:rPr>
        <w:rFonts w:ascii="Times New Roman" w:hAnsi="Times New Roman" w:eastAsia="Times New Roman" w:cs="Times New Roman"/>
        <w:sz w:val="24"/>
        <w:szCs w:val="24"/>
        <w:lang w:val="pl-PL" w:eastAsia="pl-PL"/>
      </w:rPr>
    </w:pPr>
    <w:r>
      <w:rPr/>
      <w:drawing>
        <wp:inline distT="0" distB="0" distL="0" distR="9525">
          <wp:extent cx="6276975" cy="69278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85" w:hanging="567"/>
      </w:pPr>
      <w:rPr>
        <w:sz w:val="20"/>
        <w:spacing w:val="-1"/>
        <w:b/>
        <w:szCs w:val="20"/>
        <w:bCs/>
        <w:w w:val="99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567" w:hanging="567"/>
      </w:pPr>
      <w:rPr>
        <w:sz w:val="20"/>
        <w:spacing w:val="-1"/>
        <w:b w:val="false"/>
        <w:szCs w:val="20"/>
        <w:w w:val="99"/>
        <w:rFonts w:eastAsia="Arial" w:cs="Times New Roman"/>
      </w:rPr>
    </w:lvl>
    <w:lvl w:ilvl="2">
      <w:start w:val="1"/>
      <w:numFmt w:val="bullet"/>
      <w:lvlText w:val=""/>
      <w:lvlJc w:val="left"/>
      <w:pPr>
        <w:ind w:left="1854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8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2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9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1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24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38" w:hanging="567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1.%2.%3."/>
      <w:lvlJc w:val="right"/>
      <w:pPr>
        <w:ind w:left="1918" w:hanging="180"/>
      </w:pPr>
    </w:lvl>
    <w:lvl w:ilvl="3">
      <w:start w:val="1"/>
      <w:numFmt w:val="decimal"/>
      <w:lvlText w:val="%1.%2.%3.%4."/>
      <w:lvlJc w:val="left"/>
      <w:pPr>
        <w:ind w:left="2638" w:hanging="360"/>
      </w:pPr>
    </w:lvl>
    <w:lvl w:ilvl="4">
      <w:start w:val="1"/>
      <w:numFmt w:val="lowerLetter"/>
      <w:lvlText w:val="%1.%2.%3.%4.%5."/>
      <w:lvlJc w:val="left"/>
      <w:pPr>
        <w:ind w:left="3358" w:hanging="360"/>
      </w:pPr>
    </w:lvl>
    <w:lvl w:ilvl="5">
      <w:start w:val="1"/>
      <w:numFmt w:val="lowerRoman"/>
      <w:lvlText w:val="%1.%2.%3.%4.%5.%6."/>
      <w:lvlJc w:val="right"/>
      <w:pPr>
        <w:ind w:left="4078" w:hanging="180"/>
      </w:pPr>
    </w:lvl>
    <w:lvl w:ilvl="6">
      <w:start w:val="1"/>
      <w:numFmt w:val="decimal"/>
      <w:lvlText w:val="%1.%2.%3.%4.%5.%6.%7."/>
      <w:lvlJc w:val="left"/>
      <w:pPr>
        <w:ind w:left="4798" w:hanging="360"/>
      </w:pPr>
    </w:lvl>
    <w:lvl w:ilvl="7">
      <w:start w:val="1"/>
      <w:numFmt w:val="lowerLetter"/>
      <w:lvlText w:val="%1.%2.%3.%4.%5.%6.%7.%8."/>
      <w:lvlJc w:val="left"/>
      <w:pPr>
        <w:ind w:left="5518" w:hanging="360"/>
      </w:pPr>
    </w:lvl>
    <w:lvl w:ilvl="8">
      <w:start w:val="1"/>
      <w:numFmt w:val="lowerRoman"/>
      <w:lvlText w:val="%1.%2.%3.%4.%5.%6.%7.%8.%9."/>
      <w:lvlJc w:val="right"/>
      <w:pPr>
        <w:ind w:left="6238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45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45" w:hanging="360"/>
      </w:p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45" w:hanging="360"/>
      </w:p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en-US" w:eastAsia="en-US" w:bidi="ar-SA"/>
    </w:rPr>
  </w:style>
  <w:style w:type="paragraph" w:styleId="Nagwek1">
    <w:name w:val="Heading 1"/>
    <w:qFormat/>
    <w:pPr>
      <w:widowControl w:val="false"/>
      <w:spacing w:before="5" w:after="0"/>
      <w:ind w:left="475" w:right="739" w:hanging="0"/>
      <w:jc w:val="center"/>
      <w:outlineLvl w:val="0"/>
    </w:pPr>
    <w:rPr>
      <w:rFonts w:ascii="Calibri" w:hAnsi="Calibri" w:eastAsia="SimSun" w:cs="Tahoma"/>
      <w:b/>
      <w:bCs/>
      <w:color w:val="auto"/>
      <w:kern w:val="2"/>
      <w:sz w:val="32"/>
      <w:szCs w:val="32"/>
      <w:lang w:val="en-US" w:eastAsia="en-US" w:bidi="ar-SA"/>
    </w:rPr>
  </w:style>
  <w:style w:type="paragraph" w:styleId="Nagwek2">
    <w:name w:val="Heading 2"/>
    <w:qFormat/>
    <w:pPr>
      <w:widowControl w:val="false"/>
      <w:ind w:left="685" w:hanging="0"/>
      <w:outlineLvl w:val="1"/>
    </w:pPr>
    <w:rPr>
      <w:rFonts w:ascii="Calibri" w:hAnsi="Calibri" w:eastAsia="SimSun" w:cs="Tahoma"/>
      <w:b/>
      <w:bCs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Arial" w:hAnsi="Arial" w:eastAsia="Arial" w:cs="Arial"/>
      <w:lang w:val="pl-PL"/>
    </w:rPr>
  </w:style>
  <w:style w:type="character" w:styleId="StopkaZnak" w:customStyle="1">
    <w:name w:val="Stopka Znak"/>
    <w:basedOn w:val="DefaultParagraphFont"/>
    <w:qFormat/>
    <w:rPr>
      <w:rFonts w:ascii="Arial" w:hAnsi="Arial" w:eastAsia="Arial" w:cs="Arial"/>
      <w:lang w:val="pl-PL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qFormat/>
    <w:rPr>
      <w:color w:val="808080"/>
    </w:rPr>
  </w:style>
  <w:style w:type="character" w:styleId="Tekstpodstawowywcity2Znak" w:customStyle="1">
    <w:name w:val="Tekst podstawowy wcięty 2 Znak"/>
    <w:basedOn w:val="DefaultParagraphFont"/>
    <w:qFormat/>
    <w:rPr>
      <w:rFonts w:ascii="Arial" w:hAnsi="Arial" w:eastAsia="Arial" w:cs="Arial"/>
      <w:lang w:val="pl-PL"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b/>
      <w:bCs/>
      <w:spacing w:val="-1"/>
      <w:w w:val="99"/>
      <w:sz w:val="20"/>
      <w:szCs w:val="20"/>
    </w:rPr>
  </w:style>
  <w:style w:type="character" w:styleId="ListLabel2" w:customStyle="1">
    <w:name w:val="ListLabel 2"/>
    <w:qFormat/>
    <w:rPr>
      <w:rFonts w:eastAsia="Arial" w:cs="Times New Roman"/>
      <w:b w:val="false"/>
      <w:spacing w:val="-1"/>
      <w:w w:val="99"/>
      <w:sz w:val="20"/>
      <w:szCs w:val="20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rFonts w:cs="Times New Roman"/>
      <w:sz w:val="20"/>
    </w:rPr>
  </w:style>
  <w:style w:type="character" w:styleId="ListLabel5">
    <w:name w:val="ListLabel 5"/>
    <w:qFormat/>
    <w:rPr>
      <w:rFonts w:ascii="Times New Roman" w:hAnsi="Times New Roman"/>
      <w:b/>
      <w:bCs/>
      <w:spacing w:val="-1"/>
      <w:w w:val="99"/>
      <w:sz w:val="20"/>
      <w:szCs w:val="20"/>
    </w:rPr>
  </w:style>
  <w:style w:type="character" w:styleId="ListLabel6">
    <w:name w:val="ListLabel 6"/>
    <w:qFormat/>
    <w:rPr>
      <w:rFonts w:eastAsia="Arial" w:cs="Times New Roman"/>
      <w:b w:val="false"/>
      <w:spacing w:val="-1"/>
      <w:w w:val="99"/>
      <w:sz w:val="20"/>
      <w:szCs w:val="20"/>
    </w:rPr>
  </w:style>
  <w:style w:type="character" w:styleId="ListLabel7">
    <w:name w:val="ListLabel 7"/>
    <w:qFormat/>
    <w:rPr>
      <w:rFonts w:ascii="Times New Roman" w:hAnsi="Times New Roman" w:cs="Times New Roman"/>
      <w:b/>
      <w:sz w:val="20"/>
    </w:rPr>
  </w:style>
  <w:style w:type="character" w:styleId="ListLabel8">
    <w:name w:val="ListLabel 8"/>
    <w:qFormat/>
    <w:rPr>
      <w:b/>
      <w:bCs/>
      <w:spacing w:val="-1"/>
      <w:w w:val="99"/>
      <w:sz w:val="20"/>
      <w:szCs w:val="20"/>
    </w:rPr>
  </w:style>
  <w:style w:type="character" w:styleId="ListLabel9">
    <w:name w:val="ListLabel 9"/>
    <w:qFormat/>
    <w:rPr>
      <w:rFonts w:eastAsia="Arial" w:cs="Times New Roman"/>
      <w:b w:val="false"/>
      <w:spacing w:val="-1"/>
      <w:w w:val="99"/>
      <w:sz w:val="20"/>
      <w:szCs w:val="20"/>
    </w:rPr>
  </w:style>
  <w:style w:type="paragraph" w:styleId="Nagwek" w:customStyle="1">
    <w:name w:val="Nagłówek"/>
    <w:basedOn w:val="Standard"/>
    <w:next w:val="Tretekstu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/>
    <w:rPr>
      <w:sz w:val="20"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685" w:hanging="567"/>
    </w:pPr>
    <w:rPr/>
  </w:style>
  <w:style w:type="paragraph" w:styleId="TableParagraph" w:customStyle="1">
    <w:name w:val="Table Paragraph"/>
    <w:basedOn w:val="Standard"/>
    <w:qFormat/>
    <w:pPr/>
    <w:rPr/>
  </w:style>
  <w:style w:type="paragraph" w:styleId="Gwka">
    <w:name w:val="Head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cs="Arial" w:eastAsia="SimSun"/>
      <w:color w:val="000000"/>
      <w:kern w:val="2"/>
      <w:sz w:val="24"/>
      <w:szCs w:val="24"/>
      <w:lang w:val="pl-PL" w:eastAsia="en-US" w:bidi="ar-SA"/>
    </w:rPr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LibreOffice/6.0.6.2$Windows_x86 LibreOffice_project/0c292870b25a325b5ed35f6b45599d2ea4458e77</Application>
  <Pages>10</Pages>
  <Words>1275</Words>
  <Characters>8039</Characters>
  <CharactersWithSpaces>9361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2019-05-22T12:14:00Z</dcterms:created>
  <dc:creator>Stefan Kujawski</dc:creator>
  <dc:description/>
  <dc:language>pl-PL</dc:language>
  <cp:lastModifiedBy>k4</cp:lastModifiedBy>
  <dcterms:modified xsi:type="dcterms:W3CDTF">2020-04-23T06:53:00Z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